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                   Лазовского муниципального округа </w:t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13.11.2024 г.</w:t>
      </w:r>
      <w:r>
        <w:rPr>
          <w:sz w:val="24"/>
          <w:szCs w:val="24"/>
        </w:rPr>
        <w:t xml:space="preserve"> № 828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b/>
          <w:sz w:val="26"/>
          <w:szCs w:val="26"/>
        </w:rPr>
        <w:t>«Развитие жилищно-коммунального хозяйства на территории Лазовского            муниципального округа» на 2025-2029 гг.</w:t>
      </w:r>
    </w:p>
    <w:p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Стратегические приоритеты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709"/>
        <w:rPr>
          <w:sz w:val="24"/>
          <w:szCs w:val="24"/>
        </w:rPr>
      </w:pPr>
      <w:r>
        <w:rPr>
          <w:b/>
          <w:bCs/>
          <w:sz w:val="24"/>
          <w:szCs w:val="24"/>
        </w:rPr>
        <w:t>1. Оценка текущего состояния.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программа «Развитие жилищно-коммунального хозяйства на территории Лазовского муниципального округа» на 2025-2029 гг. включает в себя комплекс мероприятий, направленных на развитие жилищно-коммунального комплекса, повышение надежности работы инфраструктуры, жизнеобеспечения сельских территорий Лазовского муниципального округа, обеспечение комфортных и безопасных условий проживания.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 проводимых в России реформ жилищного хозяйства - создание комфортных и безопасных условий для проживания людей с соблюдением необходимых санитарных норм и правил, что напрямую зависит от технического состояния жилых домов и их конструктивных элементов, состояния инженерных сетей. Одним из приоритетных направлений социально-экономического развития муниципального образования Лазовского муниципального округа является создание достойных условий для жизнедеятельности населения, предоставление бесперебойных и качественных жилищно-коммунальных услуг для населения. Несмотря на достаточно высокие результаты в вопросах комплексной модернизации коммунальной инфраструктуры, в сфере ЖКХ, по-прежнему остается достаточно много проблем, требующих скорейшего разрешения: изношенность основных фондов, высокие издержки производства, отсутствие взвешенных и грамотных взаимоотношений между потребителями и поставщиками коммунальных услуг и пр.</w:t>
      </w:r>
    </w:p>
    <w:p>
      <w:pPr>
        <w:pStyle w:val="ConsPlusNormal"/>
        <w:spacing w:lineRule="auto" w:line="276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реализации программы основан на обеспечении достижения запланированных результатов и величин показателей, установленных в муниципальной   программе.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предусматривает целевое использование денежных  средств,  в соответствии  с  поставленными   задачами,  определёнными мероприятиями, а также проведение мониторинга достигаемых результатов и эффективности расходования бюджетных средств.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программы осуществляется путем: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-координации действий всех участников реализации подпрограммами;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-регулярного мониторинга ситуации и анализа эффективности проводимой работы;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-ежегодного уточнения затрат по программным мероприятиям и состава исполнителей;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-своевременной корректировки подпрограмм.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Приоритеты: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развитие жилищного строительства;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энергоэффективности и модернизации инженерных сетей;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доступности и качества коммунальных услуг для населения;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безопасности жилищного фонда и инженерных сетей.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нового жилья;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-Модернизация инженерных сетей; 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 населения доступом к качественным коммунальным услугам.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3.Задачи муниципального управления, способы их эффективного решения.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жилищным фондом: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надлежащее содержание и ремонт жилищного фонда, а также своевременное решение вопросов, связанных с расселением аварийного жилья.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участия граждан в управлении многоквартирными домами; проведение общественных слушаний по вопросам расселения аварийного жилья; использование современных информационных систем для учета и управления жилищным фондом.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безопасной эксплуатации инженерных сетей: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надлежащее техническое состояние инженерных сетей, предотвратить аварии и обеспечить безопасность проживания граждан.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модернизация инженерных сетей; проведение регулярных проверок технического состояния сетей; использование современных технологий мониторинга состояния сетей; стимулирование участия граждан в обеспечении безопасности инженерных сетей.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коммунальной инфраструктуры: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развитие коммунальной инфраструктуры, соответствующей потребностям населения и способствующей социально-экономическому развитию муниципального образования.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частных инвестиций в отрасль; использование современных технологий и материалов для строительства и модернизации инженерных сетей; обеспечение надлежащего технического обслуживания коммунальной инфраструктуры.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Улучшение жилищных условий граждан: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доступность и качество жилищных условий для граждан.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проведение ремонта и модернизации жилищного фонда.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объемов строительства жилья: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Увеличить объемы строительства жилья, в том числе социального, для обеспечения потребностей населения.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частных инвестиций в жилищное строительство.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Улучшение качества коммунальных услуг: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Улучшить качество коммунальных услуг, в том числе водоснабжения, водоотведения, теплоснабжения, электроснабжения.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Модернизация инженерных сетей; стимулирование частных инвестиций в модернизацию сетей; проведение ремонта и модернизации инженерных сетей; внедрение современных технологий управления и мониторинга качества коммунальных услуг.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уровня удовлетворенности граждан качеством ЖКХ: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Увеличить уровень удовлетворенности граждан качеством ЖКХ, в том числе путем вовлечения граждан в процессы принятия решений и управления ЖКХ.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Проведение общественных слушаний по вопросам ЖКХ; создание общественных советов по вопросам ЖКХ; стимулирование участия граждан в управлении многоквартирными домами.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6"/>
          <w:szCs w:val="26"/>
        </w:rPr>
        <w:t>МУНИЦИПАЛЬНОЙ ПРОГРАММЫ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 xml:space="preserve">«Развитие жилищно-коммунального хозяйства на территории Лазовского </w:t>
      </w:r>
    </w:p>
    <w:p>
      <w:pPr>
        <w:pStyle w:val="ConsPlusNormal"/>
        <w:ind w:hanging="0"/>
        <w:jc w:val="center"/>
        <w:rPr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"/>
        <w:ind w:hanging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условий для приведения жилищного фонда и коммунальной инфраструктуры в соответствие со стандартами качества, обеспечивающие комфортные условия проживания на территории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Первый заместитель главы Лазовского муниципального округа Суханов К.В.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Итого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41818,71679</w:t>
            </w:r>
            <w:r>
              <w:rPr>
                <w:rFonts w:cs="Times New Roman" w:ascii="Times New Roman" w:hAnsi="Times New Roman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МБ –  </w:t>
            </w:r>
            <w:r>
              <w:rPr>
                <w:rFonts w:cs="Times New Roman" w:ascii="Times New Roman" w:hAnsi="Times New Roman"/>
              </w:rPr>
              <w:t>1254,56150</w:t>
            </w:r>
            <w:r>
              <w:rPr>
                <w:rFonts w:cs="Times New Roman" w:ascii="Times New Roman" w:hAnsi="Times New Roman"/>
              </w:rPr>
              <w:t xml:space="preserve">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40</w:t>
            </w:r>
            <w:r>
              <w:rPr>
                <w:rFonts w:cs="Times New Roman" w:ascii="Times New Roman" w:hAnsi="Times New Roman"/>
              </w:rPr>
              <w:t>564,15529</w:t>
            </w:r>
            <w:r>
              <w:rPr>
                <w:rFonts w:cs="Times New Roman" w:ascii="Times New Roman" w:hAnsi="Times New Roman"/>
              </w:rPr>
              <w:t xml:space="preserve">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Совершенствование технического состояния коммунальных систем, внедрение современных технологий, обновление и ремонт инфраструктуры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Снижение потерь энергоресурсов при их потреблении, </w:t>
              <w:br/>
              <w:t xml:space="preserve">обеспечение наиболее полного  учета отпускаемых и    потребляемых     энергетических    </w:t>
              <w:br/>
              <w:t xml:space="preserve">ресурсов. Снижение потребления и     </w:t>
              <w:br/>
              <w:t xml:space="preserve">затрат местного бюджета на        </w:t>
              <w:br/>
              <w:t>тепловую и     электрическую энергию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«Обеспечение устойчивого развития и повышение качества жизни граждан»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У</w:t>
            </w:r>
            <w:r>
              <w:rPr>
                <w:rFonts w:cs="Times New Roman" w:ascii="Times New Roman" w:hAnsi="Times New Roman"/>
              </w:rPr>
              <w:t>лучшение условий проживания и обеспечение безопасности граждан, а также на снижение рисков, связанных с проживанием в аварийном жилье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условий для долгосрочного благополучия граждан и устойчивого развития территорий.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1134" w:gutter="0"/>
          <w:pgNumType w:fmt="decimal"/>
          <w:formProt w:val="false"/>
          <w:textDirection w:val="lrTb"/>
          <w:docGrid w:type="default" w:linePitch="36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tbl>
      <w:tblPr>
        <w:tblW w:w="1437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42"/>
        <w:gridCol w:w="1625"/>
        <w:gridCol w:w="9"/>
        <w:gridCol w:w="1125"/>
        <w:gridCol w:w="8"/>
        <w:gridCol w:w="1413"/>
        <w:gridCol w:w="6"/>
        <w:gridCol w:w="1554"/>
        <w:gridCol w:w="7"/>
        <w:gridCol w:w="1565"/>
        <w:gridCol w:w="1419"/>
        <w:gridCol w:w="1563"/>
        <w:gridCol w:w="1548"/>
      </w:tblGrid>
      <w:tr>
        <w:trPr/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7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7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«Устранение аварийных ситуаций на сетях тепло-, водо-, энергоснабжения и водоотведения»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 и водоотведения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 водоснабжения и водоотведения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«Мероприятия по энергосбережению и повышению энергетической эффективности систем коммунальной инфраструктуры»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Энергосбережение и повышению энергетической эффективности систем коммунальной инфраструктуры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3 «Содержание и обслуживание муниципальных, бесхозяйных сетей теплоснабжения»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 бесхозяйных сетей теплоснабжения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4 «Технологическое присоединение муниципальных объектов к электрическим сетям»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присоединенных муниципальных объектов к электрическим сетям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3784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</w:t>
            </w:r>
          </w:p>
        </w:tc>
        <w:tc>
          <w:tcPr>
            <w:tcW w:w="13784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«Обеспечение устойчивого развития и повышение качества жизни граждан»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2.1.1.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«Определение выкупной стоимости (размера возмещения) за один квадратный метр общей площади изымаемых жилых помещений в аварийных домах»</w:t>
            </w:r>
          </w:p>
        </w:tc>
        <w:tc>
          <w:tcPr>
            <w:tcW w:w="16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1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%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в собственность Лазовского муниципального округа жилых помещений для  переселения граждан из ветхого и аварийного жилищного фонда по договорам найма специализированных жилых помещений»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3 «Мероприятия по признанию домов непригодными для проживания»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23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1784"/>
        <w:gridCol w:w="1707"/>
        <w:gridCol w:w="1852"/>
        <w:gridCol w:w="1489"/>
        <w:gridCol w:w="1421"/>
        <w:gridCol w:w="1277"/>
        <w:gridCol w:w="1277"/>
        <w:gridCol w:w="1418"/>
        <w:gridCol w:w="1407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2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«Развитие жилищно-коммунального хозяйства на территории Лазовского муниципального округа» на 2025-2029 гг.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1.1 «Модернизация систем коммунальной инфраструктуры»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1.1.1 «Устранение аварийных ситуаций на сетях тепло-, водо-, энергоснабжения и водоотведения»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«Мероприятия по энергосбережению и повышению энергетической эффективности систем коммунальной инфраструктуры»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1254,56150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обслуживание муниципальных, бесхозяйных сетей теплоснабжения»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1.1.4 «Технологическое присоединение муниципальных объектов к электрическим сетям»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3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2.1 «Обеспечение устойчивого развития и повышение качества жизни граждан»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2.1.1 «Определение выкупной стоимости (размера возмещения) за один квадратный метр общей площади изымаемых жилых помещений в аварийных домах»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2.1.2 «Приобретение в собственность Лазовского муниципального округа жилых помещений для  переселения граждан из ветхого и аварийного жилищного фонда по договорам найма специализированных жилых помещений»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2.1.3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2.1.3 «Мероприятия по признанию домов непригодными для проживания»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архитектуры, градостроительства, земельных и имущественных отношений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1134" w:gutter="0"/>
          <w:pgNumType w:fmt="decimal"/>
          <w:formProt w:val="false"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7"/>
      <w:bookmarkEnd w:id="1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«Модернизация систем коммунальной инфраструктуры»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91" w:type="dxa"/>
        <w:jc w:val="left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423"/>
        <w:gridCol w:w="1279"/>
        <w:gridCol w:w="1135"/>
        <w:gridCol w:w="1270"/>
        <w:gridCol w:w="1138"/>
        <w:gridCol w:w="1136"/>
        <w:gridCol w:w="1124"/>
      </w:tblGrid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Совершенствование технического состояния коммунальных систем, внедрение современных технологий, обновление и ремонт инфраструктуры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2025г.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2026г.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2028г.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2029г.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40564,15529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40564,15529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1254,56150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1254,56150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41818,71679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41818,71679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2025г.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2026г.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2028г.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2029г.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(Км.)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(Км.)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Энергосбережение и повышению энергетической эффективности систем коммунальной инфраструктуры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709" w:footer="0" w:bottom="1134" w:gutter="0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571"/>
      <w:bookmarkEnd w:id="2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«Обеспечение устойчивого развития и повышение качества жизни граждан»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91" w:type="dxa"/>
        <w:jc w:val="left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1704"/>
        <w:gridCol w:w="1281"/>
        <w:gridCol w:w="988"/>
        <w:gridCol w:w="1136"/>
        <w:gridCol w:w="995"/>
        <w:gridCol w:w="989"/>
        <w:gridCol w:w="986"/>
      </w:tblGrid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У</w:t>
            </w:r>
            <w:r>
              <w:rPr>
                <w:rFonts w:cs="Times New Roman" w:ascii="Times New Roman" w:hAnsi="Times New Roman"/>
              </w:rPr>
              <w:t>лучшение условий проживания и обеспечение безопасности граждан, а также на снижение рисков, связанных с проживанием в аварийном жилье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(%.)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План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реализации комплекса процессных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очередной финансовый год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  муниципального округа» на 2025-2029 гг.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</w:t>
      </w: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342"/>
        <w:gridCol w:w="1708"/>
        <w:gridCol w:w="1457"/>
        <w:gridCol w:w="1950"/>
      </w:tblGrid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мероприятия/контрольная точка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 наступления контрольной точки (дата, месяц)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Вид документа, подтверждающий факт достижения контрольного события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«Устранение аварийных ситуаций на сетях тепло-, водо-, энергоснабжения и водоотведения»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Наименование контрольной точки: 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Резервуаров РВС — 1000, Теплообменников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Занесение в план — график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05.05.2025г.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Электронный план - график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Заключение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закупок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19.06.2025г.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Подписание контракта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Исполнение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31.10.2025г.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Оплата исполненного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учета и отчетности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27.11.2025г.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Счет на оплату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8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bookmarkStart w:id="3" w:name="P1475"/>
      <w:bookmarkEnd w:id="3"/>
      <w:r>
        <w:rPr>
          <w:rFonts w:cs="Times New Roman" w:ascii="Times New Roman" w:hAnsi="Times New Roman"/>
          <w:sz w:val="26"/>
          <w:szCs w:val="26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 xml:space="preserve">«Развитие жилищно-коммунального хозяйства на территории Лазовского 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101"/>
        <w:gridCol w:w="1528"/>
        <w:gridCol w:w="1304"/>
        <w:gridCol w:w="1420"/>
        <w:gridCol w:w="2150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 и водоотведения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 водоснабжения и водоотведения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теплоснабжения,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%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квартир, предоставленных по договорам найма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header="0" w:top="426" w:footer="0" w:bottom="567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1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21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Style10" w:customStyle="1">
    <w:name w:val="Интернет-ссылка"/>
    <w:unhideWhenUsed/>
    <w:rsid w:val="00297062"/>
    <w:rPr>
      <w:color w:val="0563C1"/>
      <w:u w:val="single"/>
    </w:rPr>
  </w:style>
  <w:style w:type="character" w:styleId="Style11" w:customStyle="1">
    <w:name w:val="Посещённая гиперссылка"/>
    <w:uiPriority w:val="99"/>
    <w:unhideWhenUsed/>
    <w:rsid w:val="00297062"/>
    <w:rPr>
      <w:color w:val="954F72"/>
      <w:u w:val="single"/>
    </w:rPr>
  </w:style>
  <w:style w:type="character" w:styleId="Style12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1" w:customStyle="1">
    <w:name w:val="Основной шрифт абзаца1"/>
    <w:qFormat/>
    <w:rsid w:val="00353092"/>
    <w:rPr/>
  </w:style>
  <w:style w:type="character" w:styleId="Style13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4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5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6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7" w:customStyle="1">
    <w:name w:val="Цветовое выделение"/>
    <w:qFormat/>
    <w:rsid w:val="00353092"/>
    <w:rPr>
      <w:b/>
      <w:bCs/>
      <w:color w:val="000080"/>
    </w:rPr>
  </w:style>
  <w:style w:type="character" w:styleId="Style18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9" w:customStyle="1">
    <w:name w:val="Символ нумерации"/>
    <w:qFormat/>
    <w:rsid w:val="00353092"/>
    <w:rPr/>
  </w:style>
  <w:style w:type="character" w:styleId="13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20" w:customStyle="1">
    <w:name w:val="Заголовок"/>
    <w:basedOn w:val="Normal"/>
    <w:next w:val="Style21"/>
    <w:qFormat/>
    <w:rsid w:val="00e71338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2">
    <w:name w:val="List"/>
    <w:basedOn w:val="Style21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3" w:customStyle="1">
    <w:name w:val="Caption"/>
    <w:basedOn w:val="Normal"/>
    <w:qFormat/>
    <w:rsid w:val="00e7133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e71338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5" w:customStyle="1">
    <w:name w:val="Верхний и нижний колонтитулы"/>
    <w:basedOn w:val="Normal"/>
    <w:qFormat/>
    <w:rsid w:val="00e71338"/>
    <w:pPr/>
    <w:rPr/>
  </w:style>
  <w:style w:type="paragraph" w:styleId="Style26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7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8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4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5" w:customStyle="1">
    <w:name w:val="Заголовок1"/>
    <w:basedOn w:val="Normal"/>
    <w:next w:val="Style21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6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7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9">
    <w:name w:val="Subtitle"/>
    <w:basedOn w:val="Normal"/>
    <w:next w:val="Style21"/>
    <w:link w:val="22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link w:val="af9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30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2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3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4" w:customStyle="1">
    <w:name w:val="Заголовок таблицы"/>
    <w:basedOn w:val="Style33"/>
    <w:qFormat/>
    <w:rsid w:val="00353092"/>
    <w:pPr>
      <w:jc w:val="center"/>
    </w:pPr>
    <w:rPr>
      <w:b/>
      <w:bCs/>
    </w:rPr>
  </w:style>
  <w:style w:type="paragraph" w:styleId="Style35" w:customStyle="1">
    <w:name w:val="Содержимое врезки"/>
    <w:basedOn w:val="Normal"/>
    <w:qFormat/>
    <w:rsid w:val="00e71338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Application>LibreOffice/7.1.4.2$Windows_X86_64 LibreOffice_project/a529a4fab45b75fefc5b6226684193eb000654f6</Application>
  <AppVersion>15.0000</AppVersion>
  <Pages>20</Pages>
  <Words>2941</Words>
  <Characters>21530</Characters>
  <CharactersWithSpaces>23615</CharactersWithSpaces>
  <Paragraphs>1064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2024-11-15T15:55:46Z</cp:lastPrinted>
  <dcterms:modified xsi:type="dcterms:W3CDTF">2024-11-15T16:14:24Z</dcterms:modified>
  <cp:revision>188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